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after="156" w:afterLines="50" w:line="288" w:lineRule="auto"/>
        <w:jc w:val="center"/>
        <w:rPr>
          <w:rFonts w:ascii="Times New Roman" w:hAnsi="Times New Roman" w:eastAsiaTheme="minorEastAsia"/>
        </w:rPr>
      </w:pPr>
      <w:r>
        <w:rPr>
          <w:rFonts w:ascii="Times New Roman" w:hAnsi="Times New Roman" w:eastAsiaTheme="minorEastAsia"/>
        </w:rPr>
        <w:t>20</w:t>
      </w:r>
      <w:r>
        <w:rPr>
          <w:rFonts w:hint="eastAsia" w:ascii="Times New Roman" w:hAnsi="Times New Roman" w:eastAsiaTheme="minorEastAsia"/>
        </w:rPr>
        <w:t>2</w:t>
      </w:r>
      <w:r>
        <w:rPr>
          <w:rFonts w:ascii="Times New Roman" w:hAnsi="Times New Roman" w:eastAsiaTheme="minorEastAsia"/>
        </w:rPr>
        <w:t>2~20</w:t>
      </w:r>
      <w:r>
        <w:rPr>
          <w:rFonts w:hint="eastAsia" w:ascii="Times New Roman" w:hAnsi="Times New Roman" w:eastAsiaTheme="minorEastAsia"/>
        </w:rPr>
        <w:t>2</w:t>
      </w:r>
      <w:r>
        <w:rPr>
          <w:rFonts w:ascii="Times New Roman" w:hAnsi="Times New Roman" w:eastAsiaTheme="minorEastAsia"/>
        </w:rPr>
        <w:t>3学年第</w:t>
      </w:r>
      <w:r>
        <w:rPr>
          <w:rFonts w:hint="eastAsia" w:ascii="Times New Roman" w:hAnsi="Times New Roman" w:eastAsiaTheme="minorEastAsia"/>
          <w:lang w:val="en-US" w:eastAsia="zh-CN"/>
        </w:rPr>
        <w:t>二</w:t>
      </w:r>
      <w:r>
        <w:rPr>
          <w:rFonts w:ascii="Times New Roman" w:hAnsi="Times New Roman" w:eastAsiaTheme="minorEastAsia"/>
        </w:rPr>
        <w:t>学期教师评学工作概况</w:t>
      </w:r>
    </w:p>
    <w:p>
      <w:pPr>
        <w:spacing w:line="288" w:lineRule="auto"/>
        <w:ind w:firstLine="480" w:firstLineChars="200"/>
        <w:rPr>
          <w:rFonts w:eastAsia="仿宋_GB2312"/>
          <w:sz w:val="24"/>
        </w:rPr>
      </w:pPr>
      <w:r>
        <w:rPr>
          <w:rFonts w:hint="eastAsia" w:eastAsia="仿宋_GB2312"/>
          <w:sz w:val="24"/>
        </w:rPr>
        <w:t>为掌握学生学习状态，</w:t>
      </w:r>
      <w:r>
        <w:rPr>
          <w:rFonts w:eastAsia="仿宋_GB2312"/>
          <w:sz w:val="24"/>
        </w:rPr>
        <w:t>教务处</w:t>
      </w:r>
      <w:r>
        <w:rPr>
          <w:rFonts w:hint="eastAsia" w:eastAsia="仿宋_GB2312"/>
          <w:sz w:val="24"/>
        </w:rPr>
        <w:t>于2</w:t>
      </w:r>
      <w:r>
        <w:rPr>
          <w:rFonts w:eastAsia="仿宋_GB2312"/>
          <w:sz w:val="24"/>
        </w:rPr>
        <w:t>02</w:t>
      </w:r>
      <w:r>
        <w:rPr>
          <w:rFonts w:hint="eastAsia" w:eastAsia="仿宋_GB2312"/>
          <w:sz w:val="24"/>
          <w:lang w:val="en-US" w:eastAsia="zh-CN"/>
        </w:rPr>
        <w:t>3</w:t>
      </w:r>
      <w:r>
        <w:rPr>
          <w:rFonts w:hint="eastAsia" w:eastAsia="仿宋_GB2312"/>
          <w:sz w:val="24"/>
        </w:rPr>
        <w:t>年</w:t>
      </w:r>
      <w:r>
        <w:rPr>
          <w:rFonts w:hint="eastAsia" w:eastAsia="仿宋_GB2312"/>
          <w:sz w:val="24"/>
          <w:lang w:val="en-US" w:eastAsia="zh-CN"/>
        </w:rPr>
        <w:t>6</w:t>
      </w:r>
      <w:r>
        <w:rPr>
          <w:rFonts w:hint="eastAsia" w:eastAsia="仿宋_GB2312"/>
          <w:sz w:val="24"/>
        </w:rPr>
        <w:t>月份</w:t>
      </w:r>
      <w:r>
        <w:rPr>
          <w:rFonts w:eastAsia="仿宋_GB2312"/>
          <w:sz w:val="24"/>
        </w:rPr>
        <w:t>组织</w:t>
      </w:r>
      <w:r>
        <w:rPr>
          <w:rFonts w:hint="eastAsia" w:eastAsia="仿宋_GB2312"/>
          <w:sz w:val="24"/>
        </w:rPr>
        <w:t>全校</w:t>
      </w:r>
      <w:r>
        <w:rPr>
          <w:rFonts w:eastAsia="仿宋_GB2312"/>
          <w:sz w:val="24"/>
        </w:rPr>
        <w:t>教师开展了评学工作，</w:t>
      </w:r>
      <w:r>
        <w:rPr>
          <w:rFonts w:hint="eastAsia" w:eastAsia="仿宋_GB2312"/>
          <w:sz w:val="24"/>
        </w:rPr>
        <w:t>从学风、学习过程以及学习效果三方面对学生的学习情况进行评价。</w:t>
      </w:r>
      <w:r>
        <w:rPr>
          <w:rFonts w:eastAsia="仿宋_GB2312"/>
          <w:sz w:val="24"/>
        </w:rPr>
        <w:t>在各教学单位领导和全体教师的积极配合下，评学工作顺利完成。</w:t>
      </w:r>
    </w:p>
    <w:p>
      <w:pPr>
        <w:spacing w:line="288" w:lineRule="auto"/>
        <w:ind w:firstLine="480" w:firstLineChars="200"/>
        <w:rPr>
          <w:rFonts w:eastAsia="仿宋_GB2312"/>
          <w:color w:val="0000FF"/>
          <w:sz w:val="24"/>
          <w:highlight w:val="none"/>
        </w:rPr>
      </w:pPr>
      <w:r>
        <w:rPr>
          <w:rFonts w:eastAsia="仿宋_GB2312"/>
          <w:sz w:val="24"/>
        </w:rPr>
        <w:t>本次评学的参评教师</w:t>
      </w:r>
      <w:r>
        <w:rPr>
          <w:rFonts w:hint="eastAsia" w:eastAsia="仿宋_GB2312"/>
          <w:sz w:val="24"/>
        </w:rPr>
        <w:t>共</w:t>
      </w:r>
      <w:r>
        <w:rPr>
          <w:rFonts w:hint="eastAsia" w:eastAsia="仿宋_GB2312"/>
          <w:sz w:val="24"/>
          <w:highlight w:val="none"/>
          <w:lang w:val="en-US" w:eastAsia="zh-CN"/>
        </w:rPr>
        <w:t>504</w:t>
      </w:r>
      <w:r>
        <w:rPr>
          <w:rFonts w:hint="eastAsia" w:eastAsia="仿宋_GB2312"/>
          <w:sz w:val="24"/>
        </w:rPr>
        <w:t>位</w:t>
      </w:r>
      <w:r>
        <w:rPr>
          <w:rFonts w:eastAsia="仿宋_GB2312"/>
          <w:sz w:val="24"/>
        </w:rPr>
        <w:t>，</w:t>
      </w:r>
      <w:r>
        <w:rPr>
          <w:rFonts w:hint="eastAsia" w:eastAsia="仿宋_GB2312"/>
          <w:sz w:val="24"/>
        </w:rPr>
        <w:t>评价对象215个行政班、89个教学班（其中2019级8个行政班，2020级29个行政班，2021级109个行政班；2022级69个行政班；英语分层35个教学班，公共选修班38个教学班，专业选修班11个，重修班5个）</w:t>
      </w:r>
      <w:r>
        <w:rPr>
          <w:rFonts w:hint="eastAsia" w:eastAsia="仿宋_GB2312"/>
          <w:sz w:val="24"/>
          <w:lang w:eastAsia="zh-CN"/>
        </w:rPr>
        <w:t>，</w:t>
      </w:r>
      <w:r>
        <w:rPr>
          <w:rFonts w:hint="eastAsia" w:eastAsia="仿宋_GB2312"/>
          <w:sz w:val="24"/>
        </w:rPr>
        <w:t>全校</w:t>
      </w:r>
      <w:r>
        <w:rPr>
          <w:rFonts w:eastAsia="仿宋_GB2312"/>
          <w:sz w:val="24"/>
        </w:rPr>
        <w:t>平均分</w:t>
      </w:r>
      <w:r>
        <w:rPr>
          <w:rFonts w:hint="eastAsia" w:eastAsia="仿宋_GB2312"/>
          <w:sz w:val="24"/>
        </w:rPr>
        <w:t>（含教学班）</w:t>
      </w:r>
      <w:r>
        <w:rPr>
          <w:rFonts w:hint="eastAsia" w:eastAsia="仿宋_GB2312"/>
          <w:sz w:val="24"/>
          <w:highlight w:val="none"/>
          <w:lang w:val="en-US" w:eastAsia="zh-CN"/>
        </w:rPr>
        <w:t>87.64</w:t>
      </w:r>
      <w:r>
        <w:rPr>
          <w:rFonts w:eastAsia="仿宋_GB2312"/>
          <w:color w:val="auto"/>
          <w:sz w:val="24"/>
          <w:highlight w:val="none"/>
        </w:rPr>
        <w:t>。</w:t>
      </w:r>
    </w:p>
    <w:p>
      <w:pPr>
        <w:widowControl/>
        <w:spacing w:line="288" w:lineRule="auto"/>
        <w:ind w:firstLine="480" w:firstLineChars="200"/>
        <w:rPr>
          <w:rFonts w:eastAsia="仿宋_GB2312"/>
          <w:color w:val="auto"/>
          <w:sz w:val="24"/>
        </w:rPr>
      </w:pPr>
      <w:r>
        <w:rPr>
          <w:rFonts w:hint="eastAsia" w:eastAsia="仿宋_GB2312"/>
          <w:color w:val="auto"/>
          <w:sz w:val="24"/>
          <w:lang w:val="en-US" w:eastAsia="zh-CN"/>
        </w:rPr>
        <w:t>在此次评学中，</w:t>
      </w:r>
      <w:r>
        <w:rPr>
          <w:rFonts w:hint="eastAsia" w:eastAsia="仿宋_GB2312"/>
          <w:color w:val="auto"/>
          <w:sz w:val="24"/>
        </w:rPr>
        <w:t>教师反映</w:t>
      </w:r>
      <w:r>
        <w:rPr>
          <w:rFonts w:hint="eastAsia" w:eastAsia="仿宋_GB2312"/>
          <w:color w:val="auto"/>
          <w:sz w:val="24"/>
          <w:lang w:val="en-US" w:eastAsia="zh-CN"/>
        </w:rPr>
        <w:t>较多的问题是希望</w:t>
      </w:r>
      <w:r>
        <w:rPr>
          <w:rFonts w:hint="eastAsia" w:eastAsia="仿宋_GB2312"/>
          <w:color w:val="auto"/>
          <w:sz w:val="24"/>
        </w:rPr>
        <w:t>学生</w:t>
      </w:r>
      <w:r>
        <w:rPr>
          <w:rFonts w:hint="eastAsia" w:eastAsia="仿宋_GB2312"/>
          <w:color w:val="auto"/>
          <w:sz w:val="24"/>
          <w:lang w:val="en-US" w:eastAsia="zh-CN"/>
        </w:rPr>
        <w:t>提高学习的主动性，增强自主学习的能力</w:t>
      </w:r>
      <w:r>
        <w:rPr>
          <w:rFonts w:hint="eastAsia" w:eastAsia="仿宋_GB2312"/>
          <w:color w:val="auto"/>
          <w:sz w:val="24"/>
        </w:rPr>
        <w:t>。教师对学生学习提出的意见与建议归纳如下：</w:t>
      </w:r>
    </w:p>
    <w:p>
      <w:pPr>
        <w:widowControl/>
        <w:spacing w:line="288" w:lineRule="auto"/>
        <w:ind w:firstLine="480" w:firstLineChars="200"/>
        <w:rPr>
          <w:rFonts w:eastAsia="仿宋_GB2312"/>
          <w:color w:val="auto"/>
          <w:sz w:val="24"/>
        </w:rPr>
      </w:pPr>
      <w:r>
        <w:rPr>
          <w:rFonts w:eastAsia="仿宋_GB2312"/>
          <w:color w:val="auto"/>
          <w:sz w:val="24"/>
        </w:rPr>
        <w:t>1、</w:t>
      </w:r>
      <w:r>
        <w:rPr>
          <w:rFonts w:hint="eastAsia" w:eastAsia="仿宋_GB2312"/>
          <w:color w:val="auto"/>
          <w:sz w:val="24"/>
        </w:rPr>
        <w:t>希望学生合理安排好课堂学习与课</w:t>
      </w:r>
      <w:r>
        <w:rPr>
          <w:rFonts w:hint="eastAsia" w:eastAsia="仿宋_GB2312"/>
          <w:color w:val="auto"/>
          <w:sz w:val="24"/>
          <w:lang w:val="en-US" w:eastAsia="zh-CN"/>
        </w:rPr>
        <w:t>余活动之间的关系</w:t>
      </w:r>
      <w:r>
        <w:rPr>
          <w:rFonts w:hint="eastAsia" w:eastAsia="仿宋_GB2312"/>
          <w:color w:val="auto"/>
          <w:sz w:val="24"/>
        </w:rPr>
        <w:t>，</w:t>
      </w:r>
      <w:r>
        <w:rPr>
          <w:rFonts w:hint="eastAsia" w:eastAsia="仿宋_GB2312"/>
          <w:color w:val="auto"/>
          <w:sz w:val="24"/>
          <w:lang w:val="en-US" w:eastAsia="zh-CN"/>
        </w:rPr>
        <w:t>及时</w:t>
      </w:r>
      <w:r>
        <w:rPr>
          <w:rFonts w:hint="eastAsia" w:eastAsia="仿宋_GB2312"/>
          <w:color w:val="auto"/>
          <w:sz w:val="24"/>
        </w:rPr>
        <w:t>调整上课状态</w:t>
      </w:r>
      <w:r>
        <w:rPr>
          <w:rFonts w:eastAsia="仿宋_GB2312"/>
          <w:color w:val="auto"/>
          <w:sz w:val="24"/>
        </w:rPr>
        <w:t>；</w:t>
      </w:r>
    </w:p>
    <w:p>
      <w:pPr>
        <w:widowControl/>
        <w:spacing w:line="288" w:lineRule="auto"/>
        <w:ind w:firstLine="480" w:firstLineChars="200"/>
        <w:rPr>
          <w:rFonts w:eastAsia="仿宋_GB2312"/>
          <w:color w:val="auto"/>
          <w:sz w:val="24"/>
        </w:rPr>
      </w:pPr>
      <w:r>
        <w:rPr>
          <w:rFonts w:eastAsia="仿宋_GB2312"/>
          <w:color w:val="auto"/>
          <w:sz w:val="24"/>
        </w:rPr>
        <w:t>2、</w:t>
      </w:r>
      <w:r>
        <w:rPr>
          <w:rFonts w:hint="eastAsia" w:eastAsia="仿宋_GB2312"/>
          <w:color w:val="auto"/>
          <w:sz w:val="24"/>
        </w:rPr>
        <w:t>建议学生上课积极参与讨论和互动，主动思考；</w:t>
      </w:r>
    </w:p>
    <w:p>
      <w:pPr>
        <w:spacing w:line="288" w:lineRule="auto"/>
        <w:ind w:firstLine="480" w:firstLineChars="200"/>
        <w:rPr>
          <w:rFonts w:eastAsia="仿宋_GB2312"/>
          <w:color w:val="auto"/>
          <w:sz w:val="24"/>
        </w:rPr>
      </w:pPr>
      <w:r>
        <w:rPr>
          <w:rFonts w:eastAsia="仿宋_GB2312"/>
          <w:color w:val="auto"/>
          <w:sz w:val="24"/>
        </w:rPr>
        <w:t>3、</w:t>
      </w:r>
      <w:r>
        <w:rPr>
          <w:rFonts w:hint="eastAsia" w:eastAsia="仿宋_GB2312"/>
          <w:color w:val="auto"/>
          <w:sz w:val="24"/>
          <w:lang w:val="en-US" w:eastAsia="zh-CN"/>
        </w:rPr>
        <w:t>建议学生</w:t>
      </w:r>
      <w:bookmarkStart w:id="0" w:name="_GoBack"/>
      <w:bookmarkEnd w:id="0"/>
      <w:r>
        <w:rPr>
          <w:rFonts w:hint="eastAsia" w:eastAsia="仿宋_GB2312"/>
          <w:color w:val="auto"/>
          <w:sz w:val="24"/>
        </w:rPr>
        <w:t>加强学习主动性，强化语言基础</w:t>
      </w:r>
      <w:r>
        <w:rPr>
          <w:rFonts w:hint="eastAsia" w:eastAsia="仿宋_GB2312"/>
          <w:color w:val="auto"/>
          <w:sz w:val="24"/>
          <w:lang w:val="en-US" w:eastAsia="zh-CN"/>
        </w:rPr>
        <w:t>能力的</w:t>
      </w:r>
      <w:r>
        <w:rPr>
          <w:rFonts w:hint="eastAsia" w:eastAsia="仿宋_GB2312"/>
          <w:color w:val="auto"/>
          <w:sz w:val="24"/>
        </w:rPr>
        <w:t>学习</w:t>
      </w:r>
      <w:r>
        <w:rPr>
          <w:rFonts w:eastAsia="仿宋_GB2312"/>
          <w:color w:val="auto"/>
          <w:sz w:val="24"/>
        </w:rPr>
        <w:t>；</w:t>
      </w:r>
    </w:p>
    <w:p>
      <w:pPr>
        <w:spacing w:line="288" w:lineRule="auto"/>
        <w:ind w:firstLine="480" w:firstLineChars="200"/>
        <w:rPr>
          <w:rFonts w:eastAsia="仿宋_GB2312"/>
          <w:color w:val="auto"/>
          <w:sz w:val="24"/>
        </w:rPr>
      </w:pPr>
      <w:r>
        <w:rPr>
          <w:rFonts w:eastAsia="仿宋_GB2312"/>
          <w:color w:val="auto"/>
          <w:sz w:val="24"/>
        </w:rPr>
        <w:t>4、</w:t>
      </w:r>
      <w:r>
        <w:rPr>
          <w:rFonts w:hint="eastAsia" w:eastAsia="仿宋_GB2312"/>
          <w:color w:val="auto"/>
          <w:sz w:val="24"/>
          <w:lang w:val="en-US" w:eastAsia="zh-CN"/>
        </w:rPr>
        <w:t>建议学生上课注意课堂纪律，不迟到，及时完成课后作业</w:t>
      </w:r>
      <w:r>
        <w:rPr>
          <w:rFonts w:hint="eastAsia" w:eastAsia="仿宋_GB2312"/>
          <w:color w:val="auto"/>
          <w:sz w:val="24"/>
        </w:rPr>
        <w:t>；</w:t>
      </w:r>
    </w:p>
    <w:p>
      <w:pPr>
        <w:spacing w:line="288" w:lineRule="auto"/>
        <w:ind w:firstLine="480" w:firstLineChars="200"/>
        <w:rPr>
          <w:rFonts w:hint="eastAsia" w:eastAsia="仿宋_GB2312"/>
          <w:sz w:val="24"/>
        </w:rPr>
      </w:pPr>
      <w:r>
        <w:rPr>
          <w:rFonts w:eastAsia="仿宋_GB2312"/>
          <w:sz w:val="24"/>
        </w:rPr>
        <w:t>教务处依据</w:t>
      </w:r>
      <w:r>
        <w:rPr>
          <w:rFonts w:eastAsia="仿宋_GB2312"/>
          <w:sz w:val="24"/>
          <w:highlight w:val="none"/>
        </w:rPr>
        <w:t>2</w:t>
      </w:r>
      <w:r>
        <w:rPr>
          <w:rFonts w:hint="eastAsia" w:eastAsia="仿宋_GB2312"/>
          <w:sz w:val="24"/>
          <w:highlight w:val="none"/>
          <w:lang w:val="en-US" w:eastAsia="zh-CN"/>
        </w:rPr>
        <w:t>022</w:t>
      </w:r>
      <w:r>
        <w:rPr>
          <w:rFonts w:eastAsia="仿宋_GB2312"/>
          <w:sz w:val="24"/>
          <w:highlight w:val="none"/>
        </w:rPr>
        <w:t>条原</w:t>
      </w:r>
      <w:r>
        <w:rPr>
          <w:rFonts w:eastAsia="仿宋_GB2312"/>
          <w:sz w:val="24"/>
        </w:rPr>
        <w:t>始记录，对教师评学信息进行了整理统计，生成了所有被评班级的学期平均分</w:t>
      </w:r>
      <w:r>
        <w:rPr>
          <w:rFonts w:hint="eastAsia" w:eastAsia="仿宋_GB2312"/>
          <w:sz w:val="24"/>
        </w:rPr>
        <w:t>（见下表）</w:t>
      </w:r>
      <w:r>
        <w:rPr>
          <w:rFonts w:eastAsia="仿宋_GB2312"/>
          <w:sz w:val="24"/>
        </w:rPr>
        <w:t>。</w:t>
      </w:r>
    </w:p>
    <w:p>
      <w:pPr>
        <w:spacing w:line="288" w:lineRule="auto"/>
        <w:jc w:val="center"/>
        <w:rPr>
          <w:rFonts w:eastAsia="仿宋_GB2312"/>
          <w:b/>
          <w:sz w:val="24"/>
        </w:rPr>
      </w:pPr>
      <w:r>
        <w:rPr>
          <w:rFonts w:eastAsia="仿宋_GB2312"/>
          <w:b/>
          <w:sz w:val="24"/>
        </w:rPr>
        <w:t>20</w:t>
      </w:r>
      <w:r>
        <w:rPr>
          <w:rFonts w:hint="eastAsia" w:eastAsia="仿宋_GB2312"/>
          <w:b/>
          <w:sz w:val="24"/>
        </w:rPr>
        <w:t>2</w:t>
      </w:r>
      <w:r>
        <w:rPr>
          <w:rFonts w:eastAsia="仿宋_GB2312"/>
          <w:b/>
          <w:sz w:val="24"/>
        </w:rPr>
        <w:t>2~20</w:t>
      </w:r>
      <w:r>
        <w:rPr>
          <w:rFonts w:hint="eastAsia" w:eastAsia="仿宋_GB2312"/>
          <w:b/>
          <w:sz w:val="24"/>
        </w:rPr>
        <w:t>2</w:t>
      </w:r>
      <w:r>
        <w:rPr>
          <w:rFonts w:eastAsia="仿宋_GB2312"/>
          <w:b/>
          <w:sz w:val="24"/>
        </w:rPr>
        <w:t>3学年第</w:t>
      </w:r>
      <w:r>
        <w:rPr>
          <w:rFonts w:hint="eastAsia" w:eastAsia="仿宋_GB2312"/>
          <w:b/>
          <w:sz w:val="24"/>
          <w:lang w:val="en-US" w:eastAsia="zh-CN"/>
        </w:rPr>
        <w:t>二</w:t>
      </w:r>
      <w:r>
        <w:rPr>
          <w:rFonts w:eastAsia="仿宋_GB2312"/>
          <w:b/>
          <w:sz w:val="24"/>
        </w:rPr>
        <w:t>学期教师评学情况汇总表</w:t>
      </w:r>
    </w:p>
    <w:tbl>
      <w:tblPr>
        <w:tblStyle w:val="5"/>
        <w:tblW w:w="8637" w:type="dxa"/>
        <w:tblInd w:w="1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9"/>
        <w:gridCol w:w="2410"/>
        <w:gridCol w:w="1701"/>
        <w:gridCol w:w="1417"/>
        <w:gridCol w:w="1276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tblHeader/>
        </w:trPr>
        <w:tc>
          <w:tcPr>
            <w:tcW w:w="69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教学单位</w:t>
            </w:r>
          </w:p>
        </w:tc>
        <w:tc>
          <w:tcPr>
            <w:tcW w:w="1701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班级数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（含教学班数）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班级类型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平均分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教学单位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平均分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1</w:t>
            </w:r>
          </w:p>
        </w:tc>
        <w:tc>
          <w:tcPr>
            <w:tcW w:w="2410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电子技术与工程学院</w:t>
            </w:r>
          </w:p>
        </w:tc>
        <w:tc>
          <w:tcPr>
            <w:tcW w:w="1701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86.81 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88.00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2020级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87.51 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87.98 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87.54 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英语分层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90.14 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2</w:t>
            </w:r>
          </w:p>
        </w:tc>
        <w:tc>
          <w:tcPr>
            <w:tcW w:w="2410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通信与信息工程学院</w:t>
            </w:r>
          </w:p>
        </w:tc>
        <w:tc>
          <w:tcPr>
            <w:tcW w:w="1701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2019级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85.70 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89.56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2020级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88.70 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88.89 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87.77 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英语分层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90.67 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3</w:t>
            </w:r>
          </w:p>
        </w:tc>
        <w:tc>
          <w:tcPr>
            <w:tcW w:w="2410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机械与能源工程学院</w:t>
            </w:r>
          </w:p>
        </w:tc>
        <w:tc>
          <w:tcPr>
            <w:tcW w:w="1701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2020级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85.60 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71.60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87.32 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86.67 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英语分层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90.00 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专业选修课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86.88 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4</w:t>
            </w:r>
          </w:p>
        </w:tc>
        <w:tc>
          <w:tcPr>
            <w:tcW w:w="2410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经济与管理学院</w:t>
            </w:r>
          </w:p>
        </w:tc>
        <w:tc>
          <w:tcPr>
            <w:tcW w:w="1701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25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87.09 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86.16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86.50 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英语分层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90.83 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5</w:t>
            </w:r>
          </w:p>
        </w:tc>
        <w:tc>
          <w:tcPr>
            <w:tcW w:w="2410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中德工程学院</w:t>
            </w:r>
          </w:p>
        </w:tc>
        <w:tc>
          <w:tcPr>
            <w:tcW w:w="1701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2020级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88.63 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88.41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84.27 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84.08 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英语分层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91.67 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6</w:t>
            </w:r>
          </w:p>
        </w:tc>
        <w:tc>
          <w:tcPr>
            <w:tcW w:w="2410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设计与艺术学院</w:t>
            </w:r>
          </w:p>
        </w:tc>
        <w:tc>
          <w:tcPr>
            <w:tcW w:w="1701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54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2020级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91.07 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88.00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89.69 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89.00 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7</w:t>
            </w:r>
          </w:p>
        </w:tc>
        <w:tc>
          <w:tcPr>
            <w:tcW w:w="2410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外语学院</w:t>
            </w:r>
          </w:p>
        </w:tc>
        <w:tc>
          <w:tcPr>
            <w:tcW w:w="1701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31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2020级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86.40 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87.61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2021级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89.81 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92.56 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vMerge w:val="continue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410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701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专业选修课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94.00 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8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申安网络安全产业学院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88.41 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88.41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9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消防救援和贯通学院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2022级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90.95 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90.95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通识教育选修班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38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公共选修课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86.32 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86.32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699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2410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重修班</w:t>
            </w:r>
          </w:p>
        </w:tc>
        <w:tc>
          <w:tcPr>
            <w:tcW w:w="1701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417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重修班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71.60 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71.60 </w:t>
            </w:r>
          </w:p>
        </w:tc>
      </w:tr>
    </w:tbl>
    <w:p>
      <w:pPr>
        <w:spacing w:line="288" w:lineRule="auto"/>
        <w:ind w:firstLine="480" w:firstLineChars="200"/>
        <w:jc w:val="right"/>
        <w:rPr>
          <w:rFonts w:hint="eastAsia" w:eastAsia="仿宋_GB2312"/>
          <w:color w:val="FF0000"/>
          <w:sz w:val="24"/>
        </w:rPr>
      </w:pPr>
    </w:p>
    <w:p>
      <w:pPr>
        <w:wordWrap w:val="0"/>
        <w:spacing w:line="288" w:lineRule="auto"/>
        <w:ind w:firstLine="480" w:firstLineChars="200"/>
        <w:jc w:val="right"/>
        <w:rPr>
          <w:rFonts w:eastAsia="仿宋_GB2312"/>
          <w:sz w:val="24"/>
        </w:rPr>
      </w:pPr>
      <w:r>
        <w:rPr>
          <w:rFonts w:eastAsia="仿宋_GB2312"/>
          <w:sz w:val="24"/>
        </w:rPr>
        <w:t>教务处</w:t>
      </w:r>
    </w:p>
    <w:p>
      <w:pPr>
        <w:spacing w:line="288" w:lineRule="auto"/>
        <w:ind w:firstLine="480" w:firstLineChars="200"/>
        <w:jc w:val="right"/>
        <w:rPr>
          <w:rFonts w:hint="eastAsia" w:eastAsia="仿宋_GB2312"/>
          <w:sz w:val="24"/>
          <w:lang w:val="en-US" w:eastAsia="zh-CN"/>
        </w:rPr>
      </w:pPr>
      <w:r>
        <w:rPr>
          <w:rFonts w:eastAsia="仿宋_GB2312"/>
          <w:sz w:val="24"/>
        </w:rPr>
        <w:t>20</w:t>
      </w:r>
      <w:r>
        <w:rPr>
          <w:rFonts w:hint="eastAsia" w:eastAsia="仿宋_GB2312"/>
          <w:sz w:val="24"/>
        </w:rPr>
        <w:t>2</w:t>
      </w:r>
      <w:r>
        <w:rPr>
          <w:rFonts w:eastAsia="仿宋_GB2312"/>
          <w:sz w:val="24"/>
        </w:rPr>
        <w:t>3</w:t>
      </w:r>
      <w:r>
        <w:rPr>
          <w:rFonts w:hint="eastAsia" w:eastAsia="仿宋_GB2312"/>
          <w:sz w:val="24"/>
          <w:lang w:val="en-US" w:eastAsia="zh-CN"/>
        </w:rPr>
        <w:t>.10</w:t>
      </w:r>
      <w:r>
        <w:rPr>
          <w:rFonts w:hint="eastAsia" w:eastAsia="仿宋_GB2312"/>
          <w:sz w:val="24"/>
        </w:rPr>
        <w:t>.</w:t>
      </w:r>
      <w:r>
        <w:rPr>
          <w:rFonts w:hint="eastAsia" w:eastAsia="仿宋_GB2312"/>
          <w:sz w:val="24"/>
          <w:lang w:val="en-US" w:eastAsia="zh-CN"/>
        </w:rPr>
        <w:t>7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I1NzVjMmYxNWY5NTRmNDc2N2QyODc4YWU2ZWRmNjQifQ=="/>
  </w:docVars>
  <w:rsids>
    <w:rsidRoot w:val="002F1B41"/>
    <w:rsid w:val="00011C1F"/>
    <w:rsid w:val="00057194"/>
    <w:rsid w:val="000578D2"/>
    <w:rsid w:val="00075127"/>
    <w:rsid w:val="00077739"/>
    <w:rsid w:val="000A5120"/>
    <w:rsid w:val="000B0FD6"/>
    <w:rsid w:val="000B3F11"/>
    <w:rsid w:val="000D1E4B"/>
    <w:rsid w:val="000D590B"/>
    <w:rsid w:val="000E20A8"/>
    <w:rsid w:val="00126CAD"/>
    <w:rsid w:val="001445C7"/>
    <w:rsid w:val="00151394"/>
    <w:rsid w:val="00164620"/>
    <w:rsid w:val="0017058B"/>
    <w:rsid w:val="001827B4"/>
    <w:rsid w:val="001948F3"/>
    <w:rsid w:val="001F4716"/>
    <w:rsid w:val="00204D58"/>
    <w:rsid w:val="0022725D"/>
    <w:rsid w:val="00235196"/>
    <w:rsid w:val="002415A0"/>
    <w:rsid w:val="00280133"/>
    <w:rsid w:val="002A2EF9"/>
    <w:rsid w:val="002A6DD1"/>
    <w:rsid w:val="002C11BC"/>
    <w:rsid w:val="002D41C9"/>
    <w:rsid w:val="002E58B9"/>
    <w:rsid w:val="002F1B41"/>
    <w:rsid w:val="002F6930"/>
    <w:rsid w:val="0032295D"/>
    <w:rsid w:val="00333186"/>
    <w:rsid w:val="00364A38"/>
    <w:rsid w:val="00384095"/>
    <w:rsid w:val="003B45EA"/>
    <w:rsid w:val="003C7828"/>
    <w:rsid w:val="003F547B"/>
    <w:rsid w:val="003F5916"/>
    <w:rsid w:val="004067E9"/>
    <w:rsid w:val="00415BA4"/>
    <w:rsid w:val="00436F33"/>
    <w:rsid w:val="00485B33"/>
    <w:rsid w:val="004929DE"/>
    <w:rsid w:val="004A6370"/>
    <w:rsid w:val="004B00B4"/>
    <w:rsid w:val="004E01EF"/>
    <w:rsid w:val="004E1F94"/>
    <w:rsid w:val="004F420D"/>
    <w:rsid w:val="0051257E"/>
    <w:rsid w:val="00515DD6"/>
    <w:rsid w:val="00532663"/>
    <w:rsid w:val="00570997"/>
    <w:rsid w:val="0058714C"/>
    <w:rsid w:val="00594994"/>
    <w:rsid w:val="005A067A"/>
    <w:rsid w:val="005D66CC"/>
    <w:rsid w:val="005E119C"/>
    <w:rsid w:val="005E6ABD"/>
    <w:rsid w:val="006413AB"/>
    <w:rsid w:val="00674C47"/>
    <w:rsid w:val="006A0DC0"/>
    <w:rsid w:val="006A5B4D"/>
    <w:rsid w:val="006C4BF0"/>
    <w:rsid w:val="006F4D50"/>
    <w:rsid w:val="007418FB"/>
    <w:rsid w:val="00746F4C"/>
    <w:rsid w:val="00780D73"/>
    <w:rsid w:val="00793018"/>
    <w:rsid w:val="007A2A2A"/>
    <w:rsid w:val="007C064B"/>
    <w:rsid w:val="007D5798"/>
    <w:rsid w:val="00816F73"/>
    <w:rsid w:val="00825537"/>
    <w:rsid w:val="00835F3C"/>
    <w:rsid w:val="00844BAA"/>
    <w:rsid w:val="008521EC"/>
    <w:rsid w:val="008A7756"/>
    <w:rsid w:val="008B102E"/>
    <w:rsid w:val="008D0F49"/>
    <w:rsid w:val="0090657C"/>
    <w:rsid w:val="009211CD"/>
    <w:rsid w:val="00925D63"/>
    <w:rsid w:val="00932D06"/>
    <w:rsid w:val="00963C8C"/>
    <w:rsid w:val="00965E95"/>
    <w:rsid w:val="00982644"/>
    <w:rsid w:val="009B21DC"/>
    <w:rsid w:val="009C15F8"/>
    <w:rsid w:val="009C2D56"/>
    <w:rsid w:val="00A17FF3"/>
    <w:rsid w:val="00A74AA9"/>
    <w:rsid w:val="00AD6CA7"/>
    <w:rsid w:val="00B37198"/>
    <w:rsid w:val="00B55C20"/>
    <w:rsid w:val="00B762FB"/>
    <w:rsid w:val="00B86147"/>
    <w:rsid w:val="00B87940"/>
    <w:rsid w:val="00BB231C"/>
    <w:rsid w:val="00BC0FD7"/>
    <w:rsid w:val="00C018D1"/>
    <w:rsid w:val="00C07833"/>
    <w:rsid w:val="00C7097C"/>
    <w:rsid w:val="00CA2BE5"/>
    <w:rsid w:val="00CA4F83"/>
    <w:rsid w:val="00CB0E91"/>
    <w:rsid w:val="00CE165F"/>
    <w:rsid w:val="00CF1D28"/>
    <w:rsid w:val="00D025B8"/>
    <w:rsid w:val="00D151BB"/>
    <w:rsid w:val="00D15D6D"/>
    <w:rsid w:val="00D63C62"/>
    <w:rsid w:val="00D63CF5"/>
    <w:rsid w:val="00D84350"/>
    <w:rsid w:val="00DB7C05"/>
    <w:rsid w:val="00DF0707"/>
    <w:rsid w:val="00E14321"/>
    <w:rsid w:val="00E45970"/>
    <w:rsid w:val="00E8731C"/>
    <w:rsid w:val="00EB7B76"/>
    <w:rsid w:val="00F54101"/>
    <w:rsid w:val="00F64A38"/>
    <w:rsid w:val="00FE0AB1"/>
    <w:rsid w:val="04446A24"/>
    <w:rsid w:val="05D363F9"/>
    <w:rsid w:val="06DC40E8"/>
    <w:rsid w:val="08D41C4D"/>
    <w:rsid w:val="097E1F95"/>
    <w:rsid w:val="0AFD1543"/>
    <w:rsid w:val="1D66742B"/>
    <w:rsid w:val="20F33635"/>
    <w:rsid w:val="238624CF"/>
    <w:rsid w:val="262E6F38"/>
    <w:rsid w:val="2E176E18"/>
    <w:rsid w:val="3ABB063C"/>
    <w:rsid w:val="3EB53D86"/>
    <w:rsid w:val="43917E18"/>
    <w:rsid w:val="46BA227B"/>
    <w:rsid w:val="614641FE"/>
    <w:rsid w:val="663175E0"/>
    <w:rsid w:val="7171751A"/>
    <w:rsid w:val="77197FD7"/>
    <w:rsid w:val="77B32D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9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9">
    <w:name w:val="标题 2 字符"/>
    <w:basedOn w:val="6"/>
    <w:link w:val="2"/>
    <w:uiPriority w:val="0"/>
    <w:rPr>
      <w:rFonts w:ascii="Arial" w:hAnsi="Arial" w:eastAsia="黑体" w:cs="Times New Roman"/>
      <w:b/>
      <w:bCs/>
      <w:sz w:val="32"/>
      <w:szCs w:val="32"/>
    </w:rPr>
  </w:style>
  <w:style w:type="paragraph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font41"/>
    <w:basedOn w:val="6"/>
    <w:uiPriority w:val="0"/>
    <w:rPr>
      <w:rFonts w:hint="default" w:ascii="Times New Roman" w:hAnsi="Times New Roman" w:cs="Times New Roman"/>
      <w:color w:val="000000"/>
      <w:sz w:val="24"/>
      <w:szCs w:val="24"/>
      <w:u w:val="none"/>
    </w:rPr>
  </w:style>
  <w:style w:type="character" w:customStyle="1" w:styleId="12">
    <w:name w:val="font2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39D7AF-0F9C-42AB-896A-77B13FEF0BF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2</Pages>
  <Words>947</Words>
  <Characters>1300</Characters>
  <Lines>11</Lines>
  <Paragraphs>3</Paragraphs>
  <TotalTime>45</TotalTime>
  <ScaleCrop>false</ScaleCrop>
  <LinksUpToDate>false</LinksUpToDate>
  <CharactersWithSpaces>1346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2016-03-11T06:36:00Z</dcterms:created>
  <dc:creator>USER</dc:creator>
  <cp:lastModifiedBy>Swift</cp:lastModifiedBy>
  <dcterms:modified xsi:type="dcterms:W3CDTF">2023-10-07T01:56:17Z</dcterms:modified>
  <cp:revision>83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623459F8B6054BD6833F4C7CD04EDFEE</vt:lpwstr>
  </property>
</Properties>
</file>